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5B196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FA5BF80">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0BC2EEE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E91183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847042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2B53E086">
            <w:pPr>
              <w:ind w:firstLine="0" w:firstLineChars="0"/>
              <w:rPr>
                <w:rFonts w:hint="eastAsia" w:ascii="宋体" w:hAnsi="宋体" w:eastAsia="宋体" w:cs="宋体"/>
                <w:color w:val="auto"/>
                <w:highlight w:val="none"/>
              </w:rPr>
            </w:pPr>
          </w:p>
        </w:tc>
      </w:tr>
      <w:tr w14:paraId="6C5F89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5BB46F77">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运输和保险费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410D7BF">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3BC30BB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40F457FE">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A928335">
            <w:pPr>
              <w:ind w:firstLine="0" w:firstLineChars="0"/>
              <w:rPr>
                <w:rFonts w:hint="eastAsia" w:ascii="宋体" w:hAnsi="宋体" w:eastAsia="宋体" w:cs="宋体"/>
                <w:color w:val="auto"/>
                <w:highlight w:val="none"/>
              </w:rPr>
            </w:pPr>
          </w:p>
        </w:tc>
      </w:tr>
      <w:tr w14:paraId="119A3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1791359">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5F39AA3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733C5F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E555900">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A2061">
            <w:pPr>
              <w:ind w:firstLine="0" w:firstLineChars="0"/>
              <w:rPr>
                <w:rFonts w:hint="eastAsia" w:ascii="宋体" w:hAnsi="宋体" w:eastAsia="宋体" w:cs="宋体"/>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06D6021C">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130AB293">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5376F9C5">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3C08472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BF09DCF">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bl>
    <w:p w14:paraId="25E9255C">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海南省青少年心理健康医学中心画屏设备采购项目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海南省青少年心理健康医学中心画屏设备采购项目</w:t>
      </w:r>
      <w:r>
        <w:rPr>
          <w:rFonts w:hint="eastAsia"/>
          <w:sz w:val="24"/>
          <w:szCs w:val="32"/>
        </w:rPr>
        <w:t>（项目编号：</w:t>
      </w:r>
      <w:r>
        <w:rPr>
          <w:rFonts w:hint="eastAsia"/>
          <w:sz w:val="24"/>
          <w:szCs w:val="32"/>
          <w:highlight w:val="none"/>
          <w:lang w:val="en-US" w:eastAsia="zh-CN"/>
        </w:rPr>
        <w:t>HNSANYY2025033</w:t>
      </w:r>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217446090"/>
      <w:bookmarkStart w:id="3" w:name="_Toc529442058"/>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格式6：</w:t>
      </w:r>
      <w:r>
        <w:rPr>
          <w:rFonts w:hint="eastAsia" w:ascii="宋体" w:hAnsi="宋体" w:eastAsia="宋体" w:cs="宋体"/>
          <w:b/>
          <w:bCs/>
          <w:color w:val="auto"/>
          <w:kern w:val="2"/>
          <w:sz w:val="28"/>
          <w:szCs w:val="32"/>
          <w:highlight w:val="none"/>
          <w:lang w:val="en-US" w:eastAsia="zh-CN" w:bidi="ar-SA"/>
        </w:rPr>
        <w:t>采购需求</w:t>
      </w:r>
      <w:bookmarkStart w:id="4" w:name="_GoBack"/>
      <w:bookmarkEnd w:id="4"/>
      <w:r>
        <w:rPr>
          <w:rFonts w:hint="eastAsia" w:ascii="宋体" w:hAnsi="宋体" w:eastAsia="宋体" w:cs="宋体"/>
          <w:b/>
          <w:bCs/>
          <w:color w:val="auto"/>
          <w:kern w:val="2"/>
          <w:sz w:val="28"/>
          <w:szCs w:val="32"/>
          <w:highlight w:val="none"/>
          <w:lang w:val="en-US" w:eastAsia="zh-CN" w:bidi="ar-SA"/>
        </w:rPr>
        <w:t>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377A1139"/>
    <w:rsid w:val="39BF0037"/>
    <w:rsid w:val="52292722"/>
    <w:rsid w:val="5A273430"/>
    <w:rsid w:val="60F763D2"/>
    <w:rsid w:val="68B4097D"/>
    <w:rsid w:val="6ACB3360"/>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1515</Words>
  <Characters>1543</Characters>
  <Lines>0</Lines>
  <Paragraphs>0</Paragraphs>
  <TotalTime>0</TotalTime>
  <ScaleCrop>false</ScaleCrop>
  <LinksUpToDate>false</LinksUpToDate>
  <CharactersWithSpaces>1994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2025-11-03T04:37:48Z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FD2A63F3519E4D5EB4F51C9CFE4008A4_11</vt:lpwstr>
  </property>
  <property fmtid="{D5CDD505-2E9C-101B-9397-08002B2CF9AE}" pid="4" name="KSOTemplateDocerSaveRecord">
    <vt:lpwstr>eyJoZGlkIjoiZWI3YmQ5MTViNjhmZjEwYmQ2MjAwMjgzOGExOGY3MzEiLCJ1c2VySWQiOiIzODE2OTQwOTYifQ==</vt:lpwstr>
  </property>
</Properties>
</file>